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D31" w:rsidRDefault="009E4D31" w:rsidP="009E4D31">
      <w:pPr>
        <w:spacing w:after="200" w:line="276" w:lineRule="auto"/>
      </w:pPr>
      <w:r>
        <w:t>ΤΑ ΑΝΑΔΡΟΜΙΚΑ ΚΥΡΙΩΝ ΣΥΝΤΑΞΕΩΝ ΓΙΑ ΣΥΝΤΑΞΙΟΥΧΟΥΣ ΙΔΙΩΤΙΚΟΥ ΤΟΜΕΑ</w:t>
      </w:r>
    </w:p>
    <w:p w:rsidR="009E4D31" w:rsidRDefault="009E4D31" w:rsidP="009E4D31">
      <w:pPr>
        <w:spacing w:after="200" w:line="276" w:lineRule="auto"/>
      </w:pPr>
    </w:p>
    <w:tbl>
      <w:tblPr>
        <w:tblW w:w="0" w:type="dxa"/>
        <w:tblInd w:w="-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144"/>
        <w:gridCol w:w="140"/>
        <w:gridCol w:w="7"/>
        <w:gridCol w:w="985"/>
        <w:gridCol w:w="149"/>
        <w:gridCol w:w="1129"/>
        <w:gridCol w:w="149"/>
        <w:gridCol w:w="994"/>
        <w:gridCol w:w="1842"/>
      </w:tblGrid>
      <w:tr w:rsidR="009E4D31" w:rsidTr="009E4D31">
        <w:trPr>
          <w:trHeight w:val="132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 xml:space="preserve">Κύρια σύνταξη προ φόρου σήμερα </w:t>
            </w:r>
          </w:p>
        </w:tc>
        <w:tc>
          <w:tcPr>
            <w:tcW w:w="36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4D31" w:rsidRDefault="009E4D31">
            <w:pPr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Μειώσεις που επιστρέφονται  (ανά μήνα)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4D31" w:rsidRDefault="009E4D31">
            <w:pPr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 xml:space="preserve">ΚΑΘΑΡΑ ΠΟΣΑ ΑΝΑΔΡΟΜΙΚΩΝ  11 ΜΗΝΩΝ </w:t>
            </w:r>
          </w:p>
        </w:tc>
      </w:tr>
      <w:tr w:rsidR="009E4D31" w:rsidTr="009E4D31">
        <w:trPr>
          <w:trHeight w:val="136"/>
        </w:trPr>
        <w:tc>
          <w:tcPr>
            <w:tcW w:w="7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D31" w:rsidRDefault="009E4D31">
            <w:pPr>
              <w:spacing w:after="0"/>
              <w:rPr>
                <w:rFonts w:ascii="Calibri" w:eastAsia="Times New Roman" w:hAnsi="Calibri"/>
                <w:lang w:eastAsia="el-GR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4D31" w:rsidRDefault="009E4D31">
            <w:pPr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Από ν. 4051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 xml:space="preserve">Από ν. 4093 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Σύνολο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D31" w:rsidRDefault="009E4D31">
            <w:pPr>
              <w:spacing w:after="0"/>
              <w:rPr>
                <w:rFonts w:ascii="Calibri" w:eastAsia="Times New Roman" w:hAnsi="Calibri"/>
                <w:lang w:eastAsia="el-GR"/>
              </w:rPr>
            </w:pPr>
          </w:p>
        </w:tc>
      </w:tr>
      <w:tr w:rsidR="009E4D31" w:rsidTr="009E4D31">
        <w:trPr>
          <w:trHeight w:val="300"/>
        </w:trPr>
        <w:tc>
          <w:tcPr>
            <w:tcW w:w="73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rPr>
                <w:rFonts w:ascii="Calibri" w:eastAsia="Calibri" w:hAnsi="Calibri"/>
                <w:color w:val="000000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ΣΥΝΤΑΞΙΟΥΧΟΙ ΙΚΑ</w:t>
            </w:r>
          </w:p>
        </w:tc>
      </w:tr>
      <w:tr w:rsidR="009E4D31" w:rsidTr="009E4D31">
        <w:trPr>
          <w:trHeight w:val="300"/>
        </w:trPr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1.752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122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329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4.663</w:t>
            </w:r>
          </w:p>
        </w:tc>
      </w:tr>
      <w:tr w:rsidR="009E4D31" w:rsidTr="009E4D31">
        <w:trPr>
          <w:trHeight w:val="300"/>
        </w:trPr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1.656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105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311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4.301</w:t>
            </w:r>
          </w:p>
        </w:tc>
      </w:tr>
      <w:tr w:rsidR="009E4D31" w:rsidTr="009E4D31">
        <w:trPr>
          <w:trHeight w:val="300"/>
        </w:trPr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1.606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97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302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4.126</w:t>
            </w:r>
          </w:p>
        </w:tc>
      </w:tr>
      <w:tr w:rsidR="009E4D31" w:rsidTr="009E4D31">
        <w:trPr>
          <w:trHeight w:val="300"/>
        </w:trPr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1.541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86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289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3.878</w:t>
            </w:r>
          </w:p>
        </w:tc>
      </w:tr>
      <w:tr w:rsidR="009E4D31" w:rsidTr="009E4D31">
        <w:trPr>
          <w:trHeight w:val="300"/>
        </w:trPr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1.476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75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277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3.640</w:t>
            </w:r>
          </w:p>
        </w:tc>
      </w:tr>
      <w:tr w:rsidR="009E4D31" w:rsidTr="009E4D31">
        <w:trPr>
          <w:trHeight w:val="300"/>
        </w:trPr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1.369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56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257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3.236</w:t>
            </w:r>
          </w:p>
        </w:tc>
      </w:tr>
      <w:tr w:rsidR="009E4D31" w:rsidTr="009E4D31">
        <w:trPr>
          <w:trHeight w:val="300"/>
        </w:trPr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1.314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47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247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3.040</w:t>
            </w:r>
          </w:p>
        </w:tc>
      </w:tr>
      <w:tr w:rsidR="009E4D31" w:rsidTr="009E4D31">
        <w:trPr>
          <w:trHeight w:val="300"/>
        </w:trPr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1.280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41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240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2.906</w:t>
            </w:r>
          </w:p>
        </w:tc>
      </w:tr>
      <w:tr w:rsidR="009E4D31" w:rsidTr="009E4D31">
        <w:trPr>
          <w:trHeight w:val="300"/>
        </w:trPr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1.163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137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1.520</w:t>
            </w:r>
          </w:p>
        </w:tc>
      </w:tr>
      <w:tr w:rsidR="009E4D31" w:rsidTr="009E4D31">
        <w:trPr>
          <w:trHeight w:val="300"/>
        </w:trPr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1.027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</w:t>
            </w:r>
          </w:p>
        </w:tc>
      </w:tr>
      <w:tr w:rsidR="009E4D31" w:rsidTr="009E4D31">
        <w:trPr>
          <w:trHeight w:val="300"/>
        </w:trPr>
        <w:tc>
          <w:tcPr>
            <w:tcW w:w="73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rPr>
                <w:rFonts w:ascii="Calibri" w:hAnsi="Calibri"/>
                <w:color w:val="000000"/>
              </w:rPr>
            </w:pPr>
            <w:r>
              <w:t>ΣΥΝΤΑΞΙΟΥΧΟΙ ΔΕΚΟ-ΤΡΑΠΕΖΩΝ</w:t>
            </w:r>
          </w:p>
        </w:tc>
      </w:tr>
      <w:tr w:rsidR="009E4D31" w:rsidTr="009E4D31">
        <w:trPr>
          <w:trHeight w:val="301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2.269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234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603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8.655</w:t>
            </w:r>
          </w:p>
        </w:tc>
      </w:tr>
      <w:tr w:rsidR="009E4D31" w:rsidTr="009E4D31">
        <w:trPr>
          <w:trHeight w:val="301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1.749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121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328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4.643</w:t>
            </w:r>
          </w:p>
        </w:tc>
      </w:tr>
      <w:tr w:rsidR="009E4D31" w:rsidTr="009E4D31">
        <w:trPr>
          <w:trHeight w:val="301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1.565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90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294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3.971</w:t>
            </w:r>
          </w:p>
        </w:tc>
      </w:tr>
      <w:tr w:rsidR="009E4D31" w:rsidTr="009E4D31">
        <w:trPr>
          <w:trHeight w:val="301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1.457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58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172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2.378</w:t>
            </w:r>
          </w:p>
        </w:tc>
      </w:tr>
      <w:tr w:rsidR="009E4D31" w:rsidTr="009E4D31">
        <w:trPr>
          <w:trHeight w:val="301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1.423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52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168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2.275</w:t>
            </w:r>
          </w:p>
        </w:tc>
      </w:tr>
      <w:tr w:rsidR="009E4D31" w:rsidTr="009E4D31">
        <w:trPr>
          <w:trHeight w:val="301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1.284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152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1.882</w:t>
            </w:r>
          </w:p>
        </w:tc>
      </w:tr>
      <w:tr w:rsidR="009E4D31" w:rsidTr="009E4D31">
        <w:trPr>
          <w:trHeight w:val="301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1.219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19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144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1.685</w:t>
            </w:r>
          </w:p>
        </w:tc>
      </w:tr>
      <w:tr w:rsidR="009E4D31" w:rsidTr="009E4D31">
        <w:trPr>
          <w:trHeight w:val="301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1.171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138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1.541</w:t>
            </w:r>
          </w:p>
        </w:tc>
      </w:tr>
      <w:tr w:rsidR="009E4D31" w:rsidTr="009E4D31">
        <w:trPr>
          <w:trHeight w:val="301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1.098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130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1.344</w:t>
            </w:r>
          </w:p>
        </w:tc>
      </w:tr>
      <w:tr w:rsidR="009E4D31" w:rsidTr="009E4D31">
        <w:trPr>
          <w:trHeight w:val="301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1.042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123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1.272</w:t>
            </w:r>
          </w:p>
        </w:tc>
      </w:tr>
      <w:tr w:rsidR="009E4D31" w:rsidTr="009E4D31">
        <w:trPr>
          <w:trHeight w:val="301"/>
        </w:trPr>
        <w:tc>
          <w:tcPr>
            <w:tcW w:w="73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ΣΥΝΤΑΞΙΟΥΧΟΙ ΕΤΑΑ (</w:t>
            </w:r>
            <w:r>
              <w:t>ΤΣΜΕΔΕ, ΤΣΑΥ, ΤΑΜΕΙΟ ΝΟΜΙΚΩΝ)</w:t>
            </w:r>
          </w:p>
        </w:tc>
      </w:tr>
      <w:tr w:rsidR="009E4D31" w:rsidTr="009E4D31">
        <w:trPr>
          <w:trHeight w:val="300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1.762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123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331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4.694</w:t>
            </w:r>
          </w:p>
        </w:tc>
      </w:tr>
      <w:tr w:rsidR="009E4D31" w:rsidTr="009E4D31">
        <w:trPr>
          <w:trHeight w:val="301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lastRenderedPageBreak/>
              <w:t>1.425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52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2.275</w:t>
            </w:r>
          </w:p>
        </w:tc>
      </w:tr>
      <w:tr w:rsidR="009E4D31" w:rsidTr="009E4D31">
        <w:trPr>
          <w:trHeight w:val="301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1.374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44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2.130</w:t>
            </w:r>
          </w:p>
        </w:tc>
      </w:tr>
      <w:tr w:rsidR="009E4D31" w:rsidTr="009E4D31">
        <w:trPr>
          <w:trHeight w:val="301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1.340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28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1.117</w:t>
            </w:r>
          </w:p>
        </w:tc>
      </w:tr>
      <w:tr w:rsidR="009E4D31" w:rsidTr="009E4D31">
        <w:trPr>
          <w:trHeight w:val="301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1.322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25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74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1.024</w:t>
            </w:r>
          </w:p>
        </w:tc>
      </w:tr>
      <w:tr w:rsidR="009E4D31" w:rsidTr="009E4D31">
        <w:trPr>
          <w:trHeight w:val="301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1.267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71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</w:t>
            </w:r>
          </w:p>
        </w:tc>
      </w:tr>
      <w:tr w:rsidR="009E4D31" w:rsidTr="009E4D31">
        <w:trPr>
          <w:trHeight w:val="301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1.212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786</w:t>
            </w:r>
          </w:p>
        </w:tc>
      </w:tr>
      <w:tr w:rsidR="009E4D31" w:rsidTr="009E4D31">
        <w:trPr>
          <w:trHeight w:val="301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1.183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66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713</w:t>
            </w:r>
          </w:p>
        </w:tc>
      </w:tr>
      <w:tr w:rsidR="009E4D31" w:rsidTr="009E4D31">
        <w:trPr>
          <w:trHeight w:val="301"/>
        </w:trPr>
        <w:tc>
          <w:tcPr>
            <w:tcW w:w="73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ΣΥΝΤΑΞΙΟΥΧΟΙ ΟΑΕΕ (ΤΕΒΕ)</w:t>
            </w:r>
          </w:p>
        </w:tc>
      </w:tr>
      <w:tr w:rsidR="009E4D31" w:rsidTr="009E4D31">
        <w:trPr>
          <w:trHeight w:val="300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1</w:t>
            </w:r>
            <w:r>
              <w:rPr>
                <w:rFonts w:ascii="Calibri" w:eastAsia="Times New Roman" w:hAnsi="Calibri"/>
                <w:lang w:val="en-US" w:eastAsia="el-GR"/>
              </w:rPr>
              <w:t>.</w:t>
            </w:r>
            <w:r>
              <w:rPr>
                <w:rFonts w:ascii="Calibri" w:eastAsia="Times New Roman" w:hAnsi="Calibri"/>
                <w:lang w:eastAsia="el-GR"/>
              </w:rPr>
              <w:t>547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72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183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255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2.637</w:t>
            </w:r>
          </w:p>
        </w:tc>
      </w:tr>
      <w:tr w:rsidR="009E4D31" w:rsidTr="009E4D31">
        <w:trPr>
          <w:trHeight w:val="300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1</w:t>
            </w:r>
            <w:r>
              <w:rPr>
                <w:rFonts w:ascii="Calibri" w:eastAsia="Times New Roman" w:hAnsi="Calibri"/>
                <w:lang w:val="en-US" w:eastAsia="el-GR"/>
              </w:rPr>
              <w:t>.</w:t>
            </w:r>
            <w:r>
              <w:rPr>
                <w:rFonts w:ascii="Calibri" w:eastAsia="Times New Roman" w:hAnsi="Calibri"/>
                <w:lang w:eastAsia="el-GR"/>
              </w:rPr>
              <w:t>489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63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176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239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2.471</w:t>
            </w:r>
          </w:p>
        </w:tc>
      </w:tr>
      <w:tr w:rsidR="009E4D31" w:rsidTr="009E4D31">
        <w:trPr>
          <w:trHeight w:val="300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1</w:t>
            </w:r>
            <w:r>
              <w:rPr>
                <w:rFonts w:ascii="Calibri" w:eastAsia="Times New Roman" w:hAnsi="Calibri"/>
                <w:lang w:val="en-US" w:eastAsia="el-GR"/>
              </w:rPr>
              <w:t>.</w:t>
            </w:r>
            <w:r>
              <w:rPr>
                <w:rFonts w:ascii="Calibri" w:eastAsia="Times New Roman" w:hAnsi="Calibri"/>
                <w:lang w:eastAsia="el-GR"/>
              </w:rPr>
              <w:t>431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53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169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223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2.306</w:t>
            </w:r>
          </w:p>
        </w:tc>
      </w:tr>
      <w:tr w:rsidR="009E4D31" w:rsidTr="009E4D31">
        <w:trPr>
          <w:trHeight w:val="300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1</w:t>
            </w:r>
            <w:r>
              <w:rPr>
                <w:rFonts w:ascii="Calibri" w:eastAsia="Times New Roman" w:hAnsi="Calibri"/>
                <w:lang w:val="en-US" w:eastAsia="el-GR"/>
              </w:rPr>
              <w:t>.</w:t>
            </w:r>
            <w:r>
              <w:rPr>
                <w:rFonts w:ascii="Calibri" w:eastAsia="Times New Roman" w:hAnsi="Calibri"/>
                <w:lang w:eastAsia="el-GR"/>
              </w:rPr>
              <w:t>326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36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157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193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1.996</w:t>
            </w:r>
          </w:p>
        </w:tc>
      </w:tr>
      <w:tr w:rsidR="009E4D31" w:rsidTr="009E4D31">
        <w:trPr>
          <w:trHeight w:val="300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1</w:t>
            </w:r>
            <w:r>
              <w:rPr>
                <w:rFonts w:ascii="Calibri" w:eastAsia="Times New Roman" w:hAnsi="Calibri"/>
                <w:lang w:val="en-US" w:eastAsia="el-GR"/>
              </w:rPr>
              <w:t>.</w:t>
            </w:r>
            <w:r>
              <w:rPr>
                <w:rFonts w:ascii="Calibri" w:eastAsia="Times New Roman" w:hAnsi="Calibri"/>
                <w:lang w:eastAsia="el-GR"/>
              </w:rPr>
              <w:t>337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27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102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1.055</w:t>
            </w:r>
          </w:p>
        </w:tc>
      </w:tr>
      <w:tr w:rsidR="009E4D31" w:rsidTr="009E4D31">
        <w:trPr>
          <w:trHeight w:val="300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1</w:t>
            </w:r>
            <w:r>
              <w:rPr>
                <w:rFonts w:ascii="Calibri" w:eastAsia="Times New Roman" w:hAnsi="Calibri"/>
                <w:lang w:val="en-US" w:eastAsia="el-GR"/>
              </w:rPr>
              <w:t>.</w:t>
            </w:r>
            <w:r>
              <w:rPr>
                <w:rFonts w:ascii="Calibri" w:eastAsia="Times New Roman" w:hAnsi="Calibri"/>
                <w:lang w:eastAsia="el-GR"/>
              </w:rPr>
              <w:t>241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12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848</w:t>
            </w:r>
          </w:p>
        </w:tc>
      </w:tr>
      <w:tr w:rsidR="009E4D31" w:rsidTr="009E4D31">
        <w:trPr>
          <w:trHeight w:val="300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1</w:t>
            </w:r>
            <w:r>
              <w:rPr>
                <w:rFonts w:ascii="Calibri" w:eastAsia="Times New Roman" w:hAnsi="Calibri"/>
                <w:lang w:val="en-US" w:eastAsia="el-GR"/>
              </w:rPr>
              <w:t>.</w:t>
            </w:r>
            <w:r>
              <w:rPr>
                <w:rFonts w:ascii="Calibri" w:eastAsia="Times New Roman" w:hAnsi="Calibri"/>
                <w:lang w:eastAsia="el-GR"/>
              </w:rPr>
              <w:t>204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67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765</w:t>
            </w:r>
          </w:p>
        </w:tc>
      </w:tr>
      <w:tr w:rsidR="009E4D31" w:rsidTr="009E4D31">
        <w:trPr>
          <w:trHeight w:val="300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1</w:t>
            </w:r>
            <w:r>
              <w:rPr>
                <w:rFonts w:ascii="Calibri" w:eastAsia="Times New Roman" w:hAnsi="Calibri"/>
                <w:lang w:val="en-US" w:eastAsia="el-GR"/>
              </w:rPr>
              <w:t>.</w:t>
            </w:r>
            <w:r>
              <w:rPr>
                <w:rFonts w:ascii="Calibri" w:eastAsia="Times New Roman" w:hAnsi="Calibri"/>
                <w:lang w:eastAsia="el-GR"/>
              </w:rPr>
              <w:t>134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64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662</w:t>
            </w:r>
          </w:p>
        </w:tc>
      </w:tr>
    </w:tbl>
    <w:p w:rsidR="009E4D31" w:rsidRDefault="009E4D31" w:rsidP="009E4D31">
      <w:pPr>
        <w:spacing w:after="200" w:line="276" w:lineRule="auto"/>
        <w:ind w:left="720"/>
        <w:rPr>
          <w:rFonts w:ascii="Verdana" w:hAnsi="Verdana"/>
          <w:sz w:val="20"/>
          <w:szCs w:val="20"/>
        </w:rPr>
      </w:pPr>
    </w:p>
    <w:p w:rsidR="009E4D31" w:rsidRDefault="009E4D31" w:rsidP="009E4D31">
      <w:pPr>
        <w:spacing w:after="200" w:line="276" w:lineRule="auto"/>
        <w:ind w:left="720"/>
      </w:pPr>
    </w:p>
    <w:p w:rsidR="009E4D31" w:rsidRDefault="009E4D31" w:rsidP="009E4D31">
      <w:pPr>
        <w:spacing w:after="200" w:line="276" w:lineRule="auto"/>
        <w:ind w:left="720"/>
      </w:pPr>
      <w:r>
        <w:t>ΤΑ ΑΝΑΔΡΟΜΙΚΑ ΚΥΡΙΩΝ ΣΥΝΤΑΞΕΩΝ ΓΙΑ ΣΥΝΤΑΞΙΟΥΧΟΥΣ ΝΑΤ (*)</w:t>
      </w:r>
    </w:p>
    <w:tbl>
      <w:tblPr>
        <w:tblW w:w="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1842"/>
      </w:tblGrid>
      <w:tr w:rsidR="009E4D31" w:rsidTr="009E4D31">
        <w:trPr>
          <w:trHeight w:val="4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 xml:space="preserve">Κύρια σύνταξη προ φόρου σήμερα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4D31" w:rsidRDefault="009E4D31">
            <w:pPr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l-GR"/>
              </w:rPr>
              <w:t>Μείωση ν. 4093 που επιστρέφεται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4D31" w:rsidRDefault="009E4D31">
            <w:pPr>
              <w:rPr>
                <w:rFonts w:eastAsia="Times New Roman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ΚΑΘΑΡΑ ΠΟΣΑ ΑΝΑΔΡΟΜΙΚΩΝ  11 ΜΗΝΩΝ</w:t>
            </w:r>
          </w:p>
        </w:tc>
      </w:tr>
      <w:tr w:rsidR="009E4D31" w:rsidTr="009E4D31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/>
                <w:color w:val="000000"/>
                <w:lang w:val="en-US" w:eastAsia="el-GR"/>
              </w:rPr>
              <w:t>1.636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/>
                <w:color w:val="000000"/>
                <w:lang w:val="en-US" w:eastAsia="el-GR"/>
              </w:rPr>
              <w:t>307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3.174</w:t>
            </w:r>
          </w:p>
        </w:tc>
      </w:tr>
      <w:tr w:rsidR="009E4D31" w:rsidTr="009E4D31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</w:t>
            </w:r>
            <w:r>
              <w:rPr>
                <w:rFonts w:ascii="Calibri" w:eastAsia="Times New Roman" w:hAnsi="Calibri"/>
                <w:color w:val="000000"/>
                <w:lang w:val="en-US" w:eastAsia="el-GR"/>
              </w:rPr>
              <w:t>.</w:t>
            </w:r>
            <w:r>
              <w:rPr>
                <w:rFonts w:ascii="Calibri" w:eastAsia="Times New Roman" w:hAnsi="Calibri"/>
                <w:color w:val="000000"/>
                <w:lang w:eastAsia="el-GR"/>
              </w:rPr>
              <w:t>441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271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2.802</w:t>
            </w:r>
          </w:p>
        </w:tc>
      </w:tr>
      <w:tr w:rsidR="009E4D31" w:rsidTr="009E4D31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</w:t>
            </w:r>
            <w:r>
              <w:rPr>
                <w:rFonts w:ascii="Calibri" w:eastAsia="Times New Roman" w:hAnsi="Calibri"/>
                <w:color w:val="000000"/>
                <w:lang w:val="en-US" w:eastAsia="el-GR"/>
              </w:rPr>
              <w:t>.</w:t>
            </w:r>
            <w:r>
              <w:rPr>
                <w:rFonts w:ascii="Calibri" w:eastAsia="Times New Roman" w:hAnsi="Calibri"/>
                <w:color w:val="000000"/>
                <w:lang w:eastAsia="el-GR"/>
              </w:rPr>
              <w:t>304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245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2.533</w:t>
            </w:r>
          </w:p>
        </w:tc>
      </w:tr>
      <w:tr w:rsidR="009E4D31" w:rsidTr="009E4D31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</w:t>
            </w:r>
            <w:r>
              <w:rPr>
                <w:rFonts w:ascii="Calibri" w:eastAsia="Times New Roman" w:hAnsi="Calibri"/>
                <w:color w:val="000000"/>
                <w:lang w:val="en-US" w:eastAsia="el-GR"/>
              </w:rPr>
              <w:t>.</w:t>
            </w:r>
            <w:r>
              <w:rPr>
                <w:rFonts w:ascii="Calibri" w:eastAsia="Times New Roman" w:hAnsi="Calibri"/>
                <w:color w:val="000000"/>
                <w:lang w:eastAsia="el-GR"/>
              </w:rPr>
              <w:t>274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1.561</w:t>
            </w:r>
          </w:p>
        </w:tc>
      </w:tr>
      <w:tr w:rsidR="009E4D31" w:rsidTr="009E4D31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</w:t>
            </w:r>
            <w:r>
              <w:rPr>
                <w:rFonts w:ascii="Calibri" w:eastAsia="Times New Roman" w:hAnsi="Calibri"/>
                <w:color w:val="000000"/>
                <w:lang w:val="en-US" w:eastAsia="el-GR"/>
              </w:rPr>
              <w:t>.</w:t>
            </w:r>
            <w:r>
              <w:rPr>
                <w:rFonts w:ascii="Calibri" w:eastAsia="Times New Roman" w:hAnsi="Calibri"/>
                <w:color w:val="000000"/>
                <w:lang w:eastAsia="el-GR"/>
              </w:rPr>
              <w:t>221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1.489</w:t>
            </w:r>
          </w:p>
        </w:tc>
      </w:tr>
      <w:tr w:rsidR="009E4D31" w:rsidTr="009E4D31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</w:t>
            </w:r>
            <w:r>
              <w:rPr>
                <w:rFonts w:ascii="Calibri" w:eastAsia="Times New Roman" w:hAnsi="Calibri"/>
                <w:color w:val="000000"/>
                <w:lang w:val="en-US" w:eastAsia="el-GR"/>
              </w:rPr>
              <w:t>.</w:t>
            </w:r>
            <w:r>
              <w:rPr>
                <w:rFonts w:ascii="Calibri" w:eastAsia="Times New Roman" w:hAnsi="Calibri"/>
                <w:color w:val="000000"/>
                <w:lang w:eastAsia="el-GR"/>
              </w:rPr>
              <w:t>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1.468</w:t>
            </w:r>
          </w:p>
        </w:tc>
      </w:tr>
      <w:tr w:rsidR="009E4D31" w:rsidTr="009E4D31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</w:t>
            </w:r>
            <w:r>
              <w:rPr>
                <w:rFonts w:ascii="Calibri" w:eastAsia="Times New Roman" w:hAnsi="Calibri"/>
                <w:color w:val="000000"/>
                <w:lang w:val="en-US" w:eastAsia="el-GR"/>
              </w:rPr>
              <w:t>.</w:t>
            </w:r>
            <w:r>
              <w:rPr>
                <w:rFonts w:ascii="Calibri" w:eastAsia="Times New Roman" w:hAnsi="Calibri"/>
                <w:color w:val="000000"/>
                <w:lang w:eastAsia="el-GR"/>
              </w:rPr>
              <w:t>143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1.396</w:t>
            </w:r>
          </w:p>
        </w:tc>
      </w:tr>
      <w:tr w:rsidR="009E4D31" w:rsidTr="009E4D31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</w:t>
            </w:r>
            <w:r>
              <w:rPr>
                <w:rFonts w:ascii="Calibri" w:eastAsia="Times New Roman" w:hAnsi="Calibri"/>
                <w:color w:val="000000"/>
                <w:lang w:val="en-US" w:eastAsia="el-GR"/>
              </w:rPr>
              <w:t>.</w:t>
            </w:r>
            <w:r>
              <w:rPr>
                <w:rFonts w:ascii="Calibri" w:eastAsia="Times New Roman" w:hAnsi="Calibri"/>
                <w:color w:val="000000"/>
                <w:lang w:eastAsia="el-GR"/>
              </w:rPr>
              <w:t>059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spacing w:after="0"/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1.293</w:t>
            </w:r>
          </w:p>
        </w:tc>
      </w:tr>
    </w:tbl>
    <w:p w:rsidR="009E4D31" w:rsidRDefault="009E4D31" w:rsidP="009E4D31">
      <w:pPr>
        <w:spacing w:after="200" w:line="276" w:lineRule="auto"/>
        <w:rPr>
          <w:rFonts w:ascii="Verdana" w:hAnsi="Verdana"/>
          <w:sz w:val="20"/>
          <w:szCs w:val="20"/>
        </w:rPr>
      </w:pPr>
      <w:r>
        <w:t>(*) Δεν είχαν την περικοπή του νόμου 4051 και επιστρέφεται μόνον η μείωση νόμου 4093.</w:t>
      </w:r>
    </w:p>
    <w:p w:rsidR="009E4D31" w:rsidRDefault="009E4D31" w:rsidP="009E4D31">
      <w:pPr>
        <w:spacing w:after="200" w:line="276" w:lineRule="auto"/>
      </w:pPr>
    </w:p>
    <w:p w:rsidR="009E4D31" w:rsidRDefault="009E4D31" w:rsidP="009E4D31">
      <w:pPr>
        <w:spacing w:after="200" w:line="276" w:lineRule="auto"/>
      </w:pPr>
    </w:p>
    <w:p w:rsidR="009E4D31" w:rsidRDefault="009E4D31" w:rsidP="009E4D31">
      <w:pPr>
        <w:spacing w:after="200" w:line="276" w:lineRule="auto"/>
      </w:pPr>
    </w:p>
    <w:p w:rsidR="009E4D31" w:rsidRDefault="009E4D31" w:rsidP="009E4D31">
      <w:pPr>
        <w:spacing w:after="200" w:line="276" w:lineRule="auto"/>
      </w:pPr>
      <w:r>
        <w:t>ΤΑ ΑΝΑΔΡΟΜΙΚΑ ΚΥΡΙΩΝ ΣΥΝΤΑΞΕΩΝ ΓΙΑ ΣΥΝΤΑΞΙΟΥΧΟΥΣ ΔΗΜΟΣΙΟΥ (*)</w:t>
      </w:r>
    </w:p>
    <w:p w:rsidR="009E4D31" w:rsidRDefault="009E4D31" w:rsidP="009E4D31">
      <w:pPr>
        <w:spacing w:after="200" w:line="276" w:lineRule="auto"/>
      </w:pPr>
    </w:p>
    <w:tbl>
      <w:tblPr>
        <w:tblW w:w="0" w:type="dxa"/>
        <w:tblInd w:w="-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985"/>
        <w:gridCol w:w="1984"/>
      </w:tblGrid>
      <w:tr w:rsidR="009E4D31" w:rsidTr="009E4D31">
        <w:trPr>
          <w:trHeight w:val="49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 xml:space="preserve">Κύρια σύνταξη προ φόρου σήμερα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4D31" w:rsidRDefault="009E4D31">
            <w:pPr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Μείωση νόμου 4093 που επιστρέφεται  ανά μήνα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4D31" w:rsidRDefault="009E4D31">
            <w:pPr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ΚΑΘΑΡΑ ΠΟΣΑ ΑΝΑΔΡΟΜΙΚΩΝ  11 ΜΗΝΩΝ</w:t>
            </w:r>
          </w:p>
        </w:tc>
      </w:tr>
      <w:tr w:rsidR="009E4D31" w:rsidTr="009E4D31">
        <w:trPr>
          <w:trHeight w:val="300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rPr>
                <w:rFonts w:ascii="Calibri" w:eastAsia="Calibri" w:hAnsi="Calibri"/>
                <w:color w:val="000000"/>
              </w:rPr>
            </w:pPr>
            <w:r>
              <w:t>ΠΟΛΙΤΙΚΟΙ ΣΥΝΤΑΞΙΟΥΧΟΙ</w:t>
            </w:r>
          </w:p>
        </w:tc>
      </w:tr>
      <w:tr w:rsidR="009E4D31" w:rsidTr="009E4D31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</w:rPr>
              <w:t>2.439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6.711</w:t>
            </w:r>
          </w:p>
        </w:tc>
      </w:tr>
      <w:tr w:rsidR="009E4D31" w:rsidTr="009E4D31">
        <w:trPr>
          <w:trHeight w:val="3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</w:rPr>
              <w:t>1.831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3.557</w:t>
            </w:r>
          </w:p>
        </w:tc>
      </w:tr>
      <w:tr w:rsidR="009E4D31" w:rsidTr="009E4D31">
        <w:trPr>
          <w:trHeight w:val="3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</w:rPr>
              <w:t>1.457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2.823</w:t>
            </w:r>
          </w:p>
        </w:tc>
      </w:tr>
      <w:tr w:rsidR="009E4D31" w:rsidTr="009E4D31">
        <w:trPr>
          <w:trHeight w:val="3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</w:rPr>
              <w:t>1.330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1.623</w:t>
            </w:r>
          </w:p>
        </w:tc>
      </w:tr>
      <w:tr w:rsidR="009E4D31" w:rsidTr="009E4D31">
        <w:trPr>
          <w:trHeight w:val="3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</w:rPr>
              <w:t>1.264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1.541</w:t>
            </w:r>
          </w:p>
        </w:tc>
      </w:tr>
      <w:tr w:rsidR="009E4D31" w:rsidTr="009E4D31">
        <w:trPr>
          <w:trHeight w:val="3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</w:rPr>
              <w:t>1.217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1.489</w:t>
            </w:r>
          </w:p>
        </w:tc>
      </w:tr>
      <w:tr w:rsidR="009E4D31" w:rsidTr="009E4D31">
        <w:trPr>
          <w:trHeight w:val="3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</w:rPr>
              <w:t>1.171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1.427</w:t>
            </w:r>
          </w:p>
        </w:tc>
      </w:tr>
      <w:tr w:rsidR="009E4D31" w:rsidTr="009E4D31">
        <w:trPr>
          <w:trHeight w:val="3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</w:rPr>
              <w:t>1.122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1.375</w:t>
            </w:r>
          </w:p>
        </w:tc>
      </w:tr>
      <w:tr w:rsidR="009E4D31" w:rsidTr="009E4D31">
        <w:trPr>
          <w:trHeight w:val="3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</w:rPr>
              <w:t>1.098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1.344</w:t>
            </w:r>
          </w:p>
        </w:tc>
      </w:tr>
      <w:tr w:rsidR="009E4D31" w:rsidTr="009E4D31">
        <w:trPr>
          <w:trHeight w:val="3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</w:rPr>
              <w:t>1.042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4D31" w:rsidRDefault="009E4D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1.272</w:t>
            </w:r>
          </w:p>
        </w:tc>
      </w:tr>
      <w:tr w:rsidR="009E4D31" w:rsidTr="009E4D31">
        <w:trPr>
          <w:trHeight w:val="301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ΑΠΟΣΤΡΑΤΟΙ</w:t>
            </w:r>
          </w:p>
        </w:tc>
      </w:tr>
      <w:tr w:rsidR="009E4D31" w:rsidTr="009E4D31">
        <w:trPr>
          <w:trHeight w:val="3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2.035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382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3.950</w:t>
            </w:r>
          </w:p>
        </w:tc>
      </w:tr>
      <w:tr w:rsidR="009E4D31" w:rsidTr="009E4D31">
        <w:trPr>
          <w:trHeight w:val="3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1.873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352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3.640</w:t>
            </w:r>
          </w:p>
        </w:tc>
      </w:tr>
      <w:tr w:rsidR="009E4D31" w:rsidTr="009E4D31">
        <w:trPr>
          <w:trHeight w:val="3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1.729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325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3.361</w:t>
            </w:r>
          </w:p>
        </w:tc>
      </w:tr>
      <w:tr w:rsidR="009E4D31" w:rsidTr="009E4D31">
        <w:trPr>
          <w:trHeight w:val="3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1.595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299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3.092</w:t>
            </w:r>
          </w:p>
        </w:tc>
      </w:tr>
      <w:tr w:rsidR="009E4D31" w:rsidTr="009E4D31">
        <w:trPr>
          <w:trHeight w:val="3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1.358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1.665</w:t>
            </w:r>
          </w:p>
        </w:tc>
      </w:tr>
      <w:tr w:rsidR="009E4D31" w:rsidTr="009E4D31">
        <w:trPr>
          <w:trHeight w:val="3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1.265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Times New Roman" w:hAnsi="Calibri"/>
                <w:lang w:eastAsia="el-GR"/>
              </w:rPr>
            </w:pPr>
            <w:r>
              <w:rPr>
                <w:rFonts w:ascii="Calibri" w:eastAsia="Times New Roman" w:hAnsi="Calibri"/>
                <w:lang w:eastAsia="el-GR"/>
              </w:rPr>
              <w:t>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1.551</w:t>
            </w:r>
          </w:p>
        </w:tc>
      </w:tr>
      <w:tr w:rsidR="009E4D31" w:rsidTr="009E4D31">
        <w:trPr>
          <w:trHeight w:val="3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1.225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1.499</w:t>
            </w:r>
          </w:p>
        </w:tc>
      </w:tr>
      <w:tr w:rsidR="009E4D31" w:rsidTr="009E4D31">
        <w:trPr>
          <w:trHeight w:val="3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1.152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1.406</w:t>
            </w:r>
          </w:p>
        </w:tc>
      </w:tr>
      <w:tr w:rsidR="009E4D31" w:rsidTr="009E4D31">
        <w:trPr>
          <w:trHeight w:val="3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1.128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1.375</w:t>
            </w:r>
          </w:p>
        </w:tc>
      </w:tr>
      <w:tr w:rsidR="009E4D31" w:rsidTr="009E4D31">
        <w:trPr>
          <w:trHeight w:val="3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lastRenderedPageBreak/>
              <w:t>1.020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Times New Roman" w:hAnsi="Calibri"/>
                <w:color w:val="000000"/>
                <w:lang w:eastAsia="el-GR"/>
              </w:rPr>
            </w:pPr>
            <w:r>
              <w:rPr>
                <w:rFonts w:ascii="Calibri" w:eastAsia="Times New Roman" w:hAnsi="Calibri"/>
                <w:color w:val="000000"/>
                <w:lang w:eastAsia="el-GR"/>
              </w:rPr>
              <w:t>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D31" w:rsidRDefault="009E4D31">
            <w:pPr>
              <w:jc w:val="right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1.251</w:t>
            </w:r>
          </w:p>
        </w:tc>
      </w:tr>
    </w:tbl>
    <w:p w:rsidR="009E4D31" w:rsidRDefault="009E4D31" w:rsidP="009E4D31">
      <w:pPr>
        <w:pStyle w:val="ListParagraph"/>
        <w:ind w:left="0"/>
      </w:pPr>
    </w:p>
    <w:p w:rsidR="009E4D31" w:rsidRDefault="009E4D31" w:rsidP="009E4D31">
      <w:pPr>
        <w:pStyle w:val="ListParagraph"/>
        <w:ind w:left="0"/>
      </w:pPr>
      <w:r>
        <w:t>(*) Επιστρέφεται η μείωση νόμου 4093 για 11 μήνες σε όλους και έξτρα αναδρομικά πέραν του 11μήνου για όσους προσέφυγαν και δικαιώθηκαν στο Ελεγκτικό Συνέδριο.</w:t>
      </w:r>
    </w:p>
    <w:p w:rsidR="00CD3025" w:rsidRDefault="00CD3025" w:rsidP="009E4D31">
      <w:bookmarkStart w:id="0" w:name="_GoBack"/>
      <w:bookmarkEnd w:id="0"/>
    </w:p>
    <w:sectPr w:rsidR="00CD302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31"/>
    <w:rsid w:val="009E4D31"/>
    <w:rsid w:val="00C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3F36D-D72F-46D8-B885-CC01B9A8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D31"/>
    <w:pPr>
      <w:spacing w:before="100" w:beforeAutospacing="1" w:after="100" w:afterAutospacing="1" w:line="240" w:lineRule="auto"/>
      <w:ind w:left="720"/>
      <w:contextualSpacing/>
    </w:pPr>
    <w:rPr>
      <w:rFonts w:ascii="Verdana" w:eastAsia="Calibri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</cp:lastModifiedBy>
  <cp:revision>1</cp:revision>
  <dcterms:created xsi:type="dcterms:W3CDTF">2020-09-26T21:18:00Z</dcterms:created>
  <dcterms:modified xsi:type="dcterms:W3CDTF">2020-09-26T21:19:00Z</dcterms:modified>
</cp:coreProperties>
</file>